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B3C7" w14:textId="7845BFB4" w:rsidR="0065797E" w:rsidRDefault="0065797E" w:rsidP="0065797E">
      <w:pPr>
        <w:tabs>
          <w:tab w:val="center" w:pos="4680"/>
        </w:tabs>
        <w:suppressAutoHyphens/>
        <w:jc w:val="center"/>
        <w:outlineLvl w:val="0"/>
        <w:rPr>
          <w:rFonts w:ascii="Times" w:hAnsi="Times"/>
          <w:b/>
          <w:spacing w:val="-2"/>
          <w:sz w:val="24"/>
          <w:szCs w:val="24"/>
        </w:rPr>
      </w:pPr>
      <w:r>
        <w:rPr>
          <w:rFonts w:ascii="Times" w:hAnsi="Times"/>
          <w:b/>
          <w:spacing w:val="-2"/>
          <w:sz w:val="24"/>
          <w:szCs w:val="24"/>
        </w:rPr>
        <w:t>ORDINANCE 2026:07</w:t>
      </w:r>
    </w:p>
    <w:p w14:paraId="6C0891B9" w14:textId="77777777" w:rsidR="0065797E" w:rsidRDefault="0065797E" w:rsidP="0065797E">
      <w:pPr>
        <w:tabs>
          <w:tab w:val="center" w:pos="4680"/>
        </w:tabs>
        <w:suppressAutoHyphens/>
        <w:jc w:val="center"/>
        <w:outlineLvl w:val="0"/>
        <w:rPr>
          <w:rFonts w:ascii="Times" w:hAnsi="Times"/>
          <w:b/>
          <w:spacing w:val="-2"/>
          <w:sz w:val="24"/>
          <w:szCs w:val="24"/>
        </w:rPr>
      </w:pPr>
    </w:p>
    <w:p w14:paraId="10EEEB65" w14:textId="725CC543" w:rsidR="0065797E" w:rsidRPr="00B93A5D" w:rsidRDefault="0065797E" w:rsidP="0065797E">
      <w:pPr>
        <w:tabs>
          <w:tab w:val="center" w:pos="4680"/>
        </w:tabs>
        <w:suppressAutoHyphens/>
        <w:jc w:val="center"/>
        <w:outlineLvl w:val="0"/>
        <w:rPr>
          <w:rFonts w:ascii="Times" w:hAnsi="Times"/>
          <w:spacing w:val="-2"/>
          <w:sz w:val="24"/>
          <w:szCs w:val="24"/>
        </w:rPr>
      </w:pPr>
      <w:r w:rsidRPr="00B93A5D">
        <w:rPr>
          <w:rFonts w:ascii="Times" w:hAnsi="Times"/>
          <w:b/>
          <w:spacing w:val="-2"/>
          <w:sz w:val="24"/>
          <w:szCs w:val="24"/>
        </w:rPr>
        <w:t>Bond Ordinance Statement and Summary</w:t>
      </w:r>
    </w:p>
    <w:p w14:paraId="38C94E45" w14:textId="77777777" w:rsidR="0065797E" w:rsidRPr="00B93A5D" w:rsidRDefault="0065797E" w:rsidP="0065797E">
      <w:pPr>
        <w:tabs>
          <w:tab w:val="left" w:pos="-720"/>
        </w:tabs>
        <w:suppressAutoHyphens/>
        <w:jc w:val="both"/>
        <w:rPr>
          <w:rFonts w:ascii="Times" w:hAnsi="Times"/>
          <w:spacing w:val="-2"/>
          <w:sz w:val="18"/>
          <w:szCs w:val="18"/>
        </w:rPr>
      </w:pPr>
    </w:p>
    <w:p w14:paraId="1DCC78F9" w14:textId="77777777" w:rsidR="0065797E" w:rsidRPr="00B93A5D" w:rsidRDefault="0065797E" w:rsidP="0065797E">
      <w:pPr>
        <w:tabs>
          <w:tab w:val="left" w:pos="-720"/>
        </w:tabs>
        <w:suppressAutoHyphens/>
        <w:jc w:val="both"/>
        <w:rPr>
          <w:rFonts w:ascii="Times" w:hAnsi="Times"/>
          <w:spacing w:val="-2"/>
          <w:sz w:val="24"/>
          <w:szCs w:val="24"/>
        </w:rPr>
      </w:pPr>
      <w:r w:rsidRPr="00B93A5D">
        <w:rPr>
          <w:rFonts w:ascii="Times" w:hAnsi="Times"/>
          <w:spacing w:val="-2"/>
          <w:sz w:val="24"/>
          <w:szCs w:val="24"/>
        </w:rPr>
        <w:tab/>
        <w:t>The bond ordinance, the summary terms of which are included herein, has been finally adopted by the Borough of Somerdale, in the County of Camden, Stat</w:t>
      </w:r>
      <w:r>
        <w:rPr>
          <w:rFonts w:ascii="Times" w:hAnsi="Times"/>
          <w:spacing w:val="-2"/>
          <w:sz w:val="24"/>
          <w:szCs w:val="24"/>
        </w:rPr>
        <w:t>e of New Jersey on _________, 2026</w:t>
      </w:r>
      <w:r w:rsidRPr="00B93A5D">
        <w:rPr>
          <w:rFonts w:ascii="Times" w:hAnsi="Times"/>
          <w:spacing w:val="-2"/>
          <w:sz w:val="24"/>
          <w:szCs w:val="24"/>
        </w:rPr>
        <w:t xml:space="preserve"> and the twenty (20) day period of limitation within which a suit, action or proceeding questioning the validity of such ordinance can be commenced, as provided in the Local Bond Law, has begun to run from the date of the first publication of this statement.  Copies of the full ordinance are available at no cost and during regular business hours, at the Borough Clerk’s office in the </w:t>
      </w:r>
      <w:smartTag w:uri="urn:schemas-microsoft-com:office:smarttags" w:element="place">
        <w:smartTag w:uri="urn:schemas-microsoft-com:office:smarttags" w:element="PlaceName">
          <w:r w:rsidRPr="00B93A5D">
            <w:rPr>
              <w:rFonts w:ascii="Times" w:hAnsi="Times"/>
              <w:spacing w:val="-2"/>
              <w:sz w:val="24"/>
              <w:szCs w:val="24"/>
            </w:rPr>
            <w:t>Borough</w:t>
          </w:r>
        </w:smartTag>
        <w:r w:rsidRPr="00B93A5D">
          <w:rPr>
            <w:rFonts w:ascii="Times" w:hAnsi="Times"/>
            <w:spacing w:val="-2"/>
            <w:sz w:val="24"/>
            <w:szCs w:val="24"/>
          </w:rPr>
          <w:t xml:space="preserve"> </w:t>
        </w:r>
        <w:smartTag w:uri="urn:schemas-microsoft-com:office:smarttags" w:element="PlaceName">
          <w:r w:rsidRPr="00B93A5D">
            <w:rPr>
              <w:rFonts w:ascii="Times" w:hAnsi="Times"/>
              <w:spacing w:val="-2"/>
              <w:sz w:val="24"/>
              <w:szCs w:val="24"/>
            </w:rPr>
            <w:t>Municipal</w:t>
          </w:r>
        </w:smartTag>
        <w:r w:rsidRPr="00B93A5D">
          <w:rPr>
            <w:rFonts w:ascii="Times" w:hAnsi="Times"/>
            <w:spacing w:val="-2"/>
            <w:sz w:val="24"/>
            <w:szCs w:val="24"/>
          </w:rPr>
          <w:t xml:space="preserve"> </w:t>
        </w:r>
        <w:smartTag w:uri="urn:schemas-microsoft-com:office:smarttags" w:element="PlaceType">
          <w:r w:rsidRPr="00B93A5D">
            <w:rPr>
              <w:rFonts w:ascii="Times" w:hAnsi="Times"/>
              <w:spacing w:val="-2"/>
              <w:sz w:val="24"/>
              <w:szCs w:val="24"/>
            </w:rPr>
            <w:t>Building</w:t>
          </w:r>
        </w:smartTag>
      </w:smartTag>
      <w:r w:rsidRPr="00B93A5D">
        <w:rPr>
          <w:rFonts w:ascii="Times" w:hAnsi="Times"/>
          <w:spacing w:val="-2"/>
          <w:sz w:val="24"/>
          <w:szCs w:val="24"/>
        </w:rPr>
        <w:t xml:space="preserve">, </w:t>
      </w:r>
      <w:smartTag w:uri="urn:schemas-microsoft-com:office:smarttags" w:element="country-region">
        <w:smartTag w:uri="urn:schemas-microsoft-com:office:smarttags" w:element="Street">
          <w:r w:rsidRPr="00B93A5D">
            <w:rPr>
              <w:rFonts w:ascii="Times" w:hAnsi="Times"/>
              <w:spacing w:val="-2"/>
              <w:sz w:val="24"/>
              <w:szCs w:val="24"/>
            </w:rPr>
            <w:t>105 Kennedy Boulevard</w:t>
          </w:r>
        </w:smartTag>
        <w:r w:rsidRPr="00B93A5D">
          <w:rPr>
            <w:rFonts w:ascii="Times" w:hAnsi="Times"/>
            <w:spacing w:val="-2"/>
            <w:sz w:val="24"/>
            <w:szCs w:val="24"/>
          </w:rPr>
          <w:t xml:space="preserve">, </w:t>
        </w:r>
        <w:smartTag w:uri="urn:schemas-microsoft-com:office:smarttags" w:element="City">
          <w:r w:rsidRPr="00B93A5D">
            <w:rPr>
              <w:rFonts w:ascii="Times" w:hAnsi="Times"/>
              <w:spacing w:val="-2"/>
              <w:sz w:val="24"/>
              <w:szCs w:val="24"/>
            </w:rPr>
            <w:t>Somerdale</w:t>
          </w:r>
        </w:smartTag>
        <w:r w:rsidRPr="00B93A5D">
          <w:rPr>
            <w:rFonts w:ascii="Times" w:hAnsi="Times"/>
            <w:spacing w:val="-2"/>
            <w:sz w:val="24"/>
            <w:szCs w:val="24"/>
          </w:rPr>
          <w:t xml:space="preserve">, </w:t>
        </w:r>
        <w:smartTag w:uri="urn:schemas-microsoft-com:office:smarttags" w:element="State">
          <w:r w:rsidRPr="00B93A5D">
            <w:rPr>
              <w:rFonts w:ascii="Times" w:hAnsi="Times"/>
              <w:spacing w:val="-2"/>
              <w:sz w:val="24"/>
              <w:szCs w:val="24"/>
            </w:rPr>
            <w:t>New Jersey</w:t>
          </w:r>
        </w:smartTag>
        <w:r w:rsidRPr="00B93A5D">
          <w:rPr>
            <w:rFonts w:ascii="Times" w:hAnsi="Times"/>
            <w:spacing w:val="-2"/>
            <w:sz w:val="24"/>
            <w:szCs w:val="24"/>
          </w:rPr>
          <w:t xml:space="preserve"> </w:t>
        </w:r>
        <w:smartTag w:uri="urn:schemas-microsoft-com:office:smarttags" w:element="PostalCode">
          <w:r w:rsidRPr="00B93A5D">
            <w:rPr>
              <w:rFonts w:ascii="Times" w:hAnsi="Times"/>
              <w:spacing w:val="-2"/>
              <w:sz w:val="24"/>
              <w:szCs w:val="24"/>
            </w:rPr>
            <w:t>08083</w:t>
          </w:r>
        </w:smartTag>
      </w:smartTag>
      <w:r w:rsidRPr="00B93A5D">
        <w:rPr>
          <w:rFonts w:ascii="Times" w:hAnsi="Times"/>
          <w:spacing w:val="-2"/>
          <w:sz w:val="24"/>
          <w:szCs w:val="24"/>
        </w:rPr>
        <w:t xml:space="preserve">, for members of the general public who request the same.  The summary of the terms of such bond ordinance follows: </w:t>
      </w:r>
    </w:p>
    <w:p w14:paraId="48499C02" w14:textId="77777777" w:rsidR="0065797E" w:rsidRPr="00B93A5D" w:rsidRDefault="0065797E" w:rsidP="0065797E">
      <w:pPr>
        <w:tabs>
          <w:tab w:val="left" w:pos="-720"/>
        </w:tabs>
        <w:suppressAutoHyphens/>
        <w:jc w:val="both"/>
        <w:rPr>
          <w:rFonts w:ascii="Times" w:hAnsi="Times"/>
          <w:spacing w:val="-2"/>
          <w:sz w:val="18"/>
          <w:szCs w:val="18"/>
        </w:rPr>
      </w:pPr>
    </w:p>
    <w:p w14:paraId="4AF2D15E" w14:textId="77777777" w:rsidR="0065797E" w:rsidRDefault="0065797E" w:rsidP="0065797E">
      <w:pPr>
        <w:tabs>
          <w:tab w:val="left" w:pos="-720"/>
        </w:tabs>
        <w:suppressAutoHyphens/>
        <w:ind w:left="1440" w:right="1440" w:hanging="1440"/>
        <w:jc w:val="both"/>
        <w:rPr>
          <w:rFonts w:ascii="Times" w:hAnsi="Times"/>
          <w:b/>
          <w:spacing w:val="-2"/>
          <w:sz w:val="24"/>
          <w:szCs w:val="24"/>
        </w:rPr>
      </w:pPr>
      <w:r w:rsidRPr="00B93A5D">
        <w:rPr>
          <w:rFonts w:ascii="Times" w:hAnsi="Times"/>
          <w:spacing w:val="-2"/>
          <w:sz w:val="24"/>
          <w:szCs w:val="24"/>
        </w:rPr>
        <w:t>Title:</w:t>
      </w:r>
      <w:r w:rsidRPr="00B93A5D">
        <w:rPr>
          <w:rFonts w:ascii="Times" w:hAnsi="Times"/>
          <w:spacing w:val="-2"/>
          <w:sz w:val="24"/>
          <w:szCs w:val="24"/>
        </w:rPr>
        <w:tab/>
      </w:r>
      <w:r w:rsidRPr="00A10950">
        <w:rPr>
          <w:rFonts w:ascii="Times" w:hAnsi="Times"/>
          <w:b/>
          <w:spacing w:val="-2"/>
          <w:sz w:val="24"/>
          <w:szCs w:val="24"/>
        </w:rPr>
        <w:t>BOND ORDINANCE AUTHORIZING THE COMPLETION OF VARIOUS CAPITAL IMPROVEMENTS AND THE ACQUISITION OF VARIOUS CAPITAL EQUIPMENT IN AND FOR THE BOROUGH OF SOMERDALE, COUNTY OF CAMDEN, NEW JERSEY; APPROPRIATING THE SUM OF $589,625 THEREFOR; AUTHORIZING THE ISSUANCE OF GENERAL OBLIGATION BONDS OR BOND ANTICIPATION NOTES OF THE BOROUGH OF SOMERDALE, COUNTY OF CAMDEN, NEW JERSEY, IN THE AGGREGATE PRINCIPAL AMOUNT OF UP TO $560,144; MAKING CERTAIN DETERMINATIONS AND COVENANTS; AND AUTHORIZING CERTAIN RELATED ACTIONS IN CONNECTION WITH THE FOREGOING</w:t>
      </w:r>
    </w:p>
    <w:p w14:paraId="6056D86A" w14:textId="77777777" w:rsidR="0065797E" w:rsidRDefault="0065797E" w:rsidP="0065797E">
      <w:pPr>
        <w:tabs>
          <w:tab w:val="left" w:pos="-720"/>
        </w:tabs>
        <w:suppressAutoHyphens/>
        <w:ind w:left="1440" w:right="1440" w:hanging="1440"/>
        <w:jc w:val="both"/>
        <w:rPr>
          <w:rFonts w:ascii="Times" w:hAnsi="Times"/>
          <w:b/>
          <w:spacing w:val="-2"/>
          <w:sz w:val="24"/>
          <w:szCs w:val="24"/>
        </w:rPr>
      </w:pPr>
    </w:p>
    <w:tbl>
      <w:tblPr>
        <w:tblW w:w="9292" w:type="dxa"/>
        <w:tblInd w:w="-240" w:type="dxa"/>
        <w:tblLayout w:type="fixed"/>
        <w:tblCellMar>
          <w:left w:w="120" w:type="dxa"/>
          <w:right w:w="120" w:type="dxa"/>
        </w:tblCellMar>
        <w:tblLook w:val="0000" w:firstRow="0" w:lastRow="0" w:firstColumn="0" w:lastColumn="0" w:noHBand="0" w:noVBand="0"/>
      </w:tblPr>
      <w:tblGrid>
        <w:gridCol w:w="360"/>
        <w:gridCol w:w="4410"/>
        <w:gridCol w:w="1260"/>
        <w:gridCol w:w="990"/>
        <w:gridCol w:w="1260"/>
        <w:gridCol w:w="1012"/>
      </w:tblGrid>
      <w:tr w:rsidR="0065797E" w:rsidRPr="00791986" w14:paraId="0E245D79" w14:textId="77777777" w:rsidTr="00C40496">
        <w:tblPrEx>
          <w:tblCellMar>
            <w:top w:w="0" w:type="dxa"/>
            <w:bottom w:w="0" w:type="dxa"/>
          </w:tblCellMar>
        </w:tblPrEx>
        <w:trPr>
          <w:tblHeader/>
        </w:trPr>
        <w:tc>
          <w:tcPr>
            <w:tcW w:w="360" w:type="dxa"/>
          </w:tcPr>
          <w:p w14:paraId="7EB94F78" w14:textId="77777777" w:rsidR="0065797E" w:rsidRPr="00791986" w:rsidRDefault="0065797E" w:rsidP="00C40496">
            <w:pPr>
              <w:tabs>
                <w:tab w:val="left" w:pos="-720"/>
              </w:tabs>
              <w:suppressAutoHyphens/>
              <w:rPr>
                <w:spacing w:val="-2"/>
              </w:rPr>
            </w:pPr>
          </w:p>
          <w:p w14:paraId="262A9D31" w14:textId="77777777" w:rsidR="0065797E" w:rsidRPr="00791986" w:rsidRDefault="0065797E" w:rsidP="00C40496">
            <w:pPr>
              <w:tabs>
                <w:tab w:val="left" w:pos="-720"/>
              </w:tabs>
              <w:suppressAutoHyphens/>
              <w:rPr>
                <w:spacing w:val="-2"/>
              </w:rPr>
            </w:pPr>
          </w:p>
        </w:tc>
        <w:tc>
          <w:tcPr>
            <w:tcW w:w="4410" w:type="dxa"/>
          </w:tcPr>
          <w:p w14:paraId="4BDD182C" w14:textId="77777777" w:rsidR="0065797E" w:rsidRPr="00791986" w:rsidRDefault="0065797E" w:rsidP="00C40496">
            <w:pPr>
              <w:tabs>
                <w:tab w:val="left" w:pos="-720"/>
              </w:tabs>
              <w:suppressAutoHyphens/>
              <w:rPr>
                <w:b/>
                <w:spacing w:val="-2"/>
                <w:u w:val="single"/>
              </w:rPr>
            </w:pPr>
          </w:p>
          <w:p w14:paraId="7BF532BD" w14:textId="77777777" w:rsidR="0065797E" w:rsidRPr="00791986" w:rsidRDefault="0065797E" w:rsidP="00C40496">
            <w:pPr>
              <w:tabs>
                <w:tab w:val="left" w:pos="-720"/>
              </w:tabs>
              <w:suppressAutoHyphens/>
              <w:jc w:val="center"/>
              <w:rPr>
                <w:b/>
                <w:spacing w:val="-2"/>
              </w:rPr>
            </w:pPr>
            <w:r w:rsidRPr="00791986">
              <w:rPr>
                <w:b/>
                <w:spacing w:val="-2"/>
                <w:u w:val="single"/>
              </w:rPr>
              <w:t>Purpose/Improvement</w:t>
            </w:r>
          </w:p>
        </w:tc>
        <w:tc>
          <w:tcPr>
            <w:tcW w:w="1260" w:type="dxa"/>
          </w:tcPr>
          <w:p w14:paraId="08A865F0" w14:textId="77777777" w:rsidR="0065797E" w:rsidRPr="00791986" w:rsidRDefault="0065797E" w:rsidP="00C40496">
            <w:pPr>
              <w:tabs>
                <w:tab w:val="left" w:pos="-720"/>
              </w:tabs>
              <w:suppressAutoHyphens/>
              <w:jc w:val="center"/>
              <w:rPr>
                <w:b/>
                <w:spacing w:val="-2"/>
              </w:rPr>
            </w:pPr>
            <w:r w:rsidRPr="00791986">
              <w:rPr>
                <w:b/>
                <w:spacing w:val="-2"/>
              </w:rPr>
              <w:t>Estimated</w:t>
            </w:r>
          </w:p>
          <w:p w14:paraId="3F5B639B" w14:textId="77777777" w:rsidR="0065797E" w:rsidRPr="00791986" w:rsidRDefault="0065797E" w:rsidP="00C40496">
            <w:pPr>
              <w:tabs>
                <w:tab w:val="left" w:pos="-720"/>
              </w:tabs>
              <w:suppressAutoHyphens/>
              <w:jc w:val="center"/>
              <w:rPr>
                <w:b/>
                <w:spacing w:val="-2"/>
              </w:rPr>
            </w:pPr>
            <w:r w:rsidRPr="00791986">
              <w:rPr>
                <w:b/>
                <w:spacing w:val="-2"/>
                <w:u w:val="single"/>
              </w:rPr>
              <w:t>Total Cost</w:t>
            </w:r>
          </w:p>
        </w:tc>
        <w:tc>
          <w:tcPr>
            <w:tcW w:w="990" w:type="dxa"/>
          </w:tcPr>
          <w:p w14:paraId="30090CB9" w14:textId="77777777" w:rsidR="0065797E" w:rsidRPr="00791986" w:rsidRDefault="0065797E" w:rsidP="00C40496">
            <w:pPr>
              <w:tabs>
                <w:tab w:val="left" w:pos="-720"/>
              </w:tabs>
              <w:suppressAutoHyphens/>
              <w:jc w:val="center"/>
              <w:rPr>
                <w:b/>
                <w:spacing w:val="-2"/>
              </w:rPr>
            </w:pPr>
            <w:proofErr w:type="gramStart"/>
            <w:r w:rsidRPr="00791986">
              <w:rPr>
                <w:b/>
                <w:spacing w:val="-2"/>
              </w:rPr>
              <w:t xml:space="preserve">Down  </w:t>
            </w:r>
            <w:r w:rsidRPr="00791986">
              <w:rPr>
                <w:b/>
                <w:spacing w:val="-2"/>
                <w:u w:val="single"/>
              </w:rPr>
              <w:t>Payment</w:t>
            </w:r>
            <w:proofErr w:type="gramEnd"/>
          </w:p>
        </w:tc>
        <w:tc>
          <w:tcPr>
            <w:tcW w:w="1260" w:type="dxa"/>
          </w:tcPr>
          <w:p w14:paraId="6639DFC2" w14:textId="77777777" w:rsidR="0065797E" w:rsidRPr="00791986" w:rsidRDefault="0065797E" w:rsidP="00C40496">
            <w:pPr>
              <w:tabs>
                <w:tab w:val="left" w:pos="-720"/>
              </w:tabs>
              <w:suppressAutoHyphens/>
              <w:ind w:left="-30" w:right="-30"/>
              <w:jc w:val="center"/>
              <w:rPr>
                <w:b/>
                <w:spacing w:val="-2"/>
              </w:rPr>
            </w:pPr>
            <w:proofErr w:type="gramStart"/>
            <w:r w:rsidRPr="00791986">
              <w:rPr>
                <w:b/>
                <w:spacing w:val="-2"/>
              </w:rPr>
              <w:t>Amount</w:t>
            </w:r>
            <w:proofErr w:type="gramEnd"/>
            <w:r w:rsidRPr="00791986">
              <w:rPr>
                <w:b/>
                <w:spacing w:val="-2"/>
              </w:rPr>
              <w:t xml:space="preserve"> of </w:t>
            </w:r>
            <w:r w:rsidRPr="00791986">
              <w:rPr>
                <w:b/>
                <w:spacing w:val="-2"/>
                <w:u w:val="single"/>
              </w:rPr>
              <w:t>Obligations</w:t>
            </w:r>
          </w:p>
        </w:tc>
        <w:tc>
          <w:tcPr>
            <w:tcW w:w="1012" w:type="dxa"/>
          </w:tcPr>
          <w:p w14:paraId="554A0B6A" w14:textId="77777777" w:rsidR="0065797E" w:rsidRPr="00791986" w:rsidRDefault="0065797E" w:rsidP="00C40496">
            <w:pPr>
              <w:tabs>
                <w:tab w:val="left" w:pos="-720"/>
              </w:tabs>
              <w:suppressAutoHyphens/>
              <w:ind w:left="-30" w:right="-98"/>
              <w:jc w:val="center"/>
              <w:rPr>
                <w:b/>
                <w:spacing w:val="-2"/>
              </w:rPr>
            </w:pPr>
            <w:r w:rsidRPr="00791986">
              <w:rPr>
                <w:b/>
                <w:spacing w:val="-2"/>
              </w:rPr>
              <w:t>Period of</w:t>
            </w:r>
          </w:p>
          <w:p w14:paraId="14A4B79A" w14:textId="77777777" w:rsidR="0065797E" w:rsidRPr="00791986" w:rsidRDefault="0065797E" w:rsidP="00C40496">
            <w:pPr>
              <w:tabs>
                <w:tab w:val="left" w:pos="-720"/>
              </w:tabs>
              <w:suppressAutoHyphens/>
              <w:ind w:left="-30" w:right="-98"/>
              <w:jc w:val="center"/>
              <w:rPr>
                <w:b/>
                <w:spacing w:val="-2"/>
              </w:rPr>
            </w:pPr>
            <w:r w:rsidRPr="00791986">
              <w:rPr>
                <w:b/>
                <w:spacing w:val="-2"/>
                <w:u w:val="single"/>
              </w:rPr>
              <w:t>Usefulness</w:t>
            </w:r>
          </w:p>
        </w:tc>
      </w:tr>
      <w:tr w:rsidR="0065797E" w:rsidRPr="00791986" w14:paraId="716FB75C" w14:textId="77777777" w:rsidTr="00C40496">
        <w:tblPrEx>
          <w:tblCellMar>
            <w:top w:w="0" w:type="dxa"/>
            <w:bottom w:w="0" w:type="dxa"/>
          </w:tblCellMar>
        </w:tblPrEx>
        <w:tc>
          <w:tcPr>
            <w:tcW w:w="360" w:type="dxa"/>
          </w:tcPr>
          <w:p w14:paraId="2422AC39" w14:textId="77777777" w:rsidR="0065797E" w:rsidRPr="00791986" w:rsidRDefault="0065797E" w:rsidP="00C40496">
            <w:pPr>
              <w:tabs>
                <w:tab w:val="left" w:pos="-720"/>
              </w:tabs>
              <w:suppressAutoHyphens/>
              <w:spacing w:before="90"/>
              <w:ind w:right="-115"/>
              <w:rPr>
                <w:spacing w:val="-2"/>
              </w:rPr>
            </w:pPr>
            <w:r>
              <w:rPr>
                <w:spacing w:val="-2"/>
              </w:rPr>
              <w:t>A</w:t>
            </w:r>
            <w:r w:rsidRPr="00791986">
              <w:rPr>
                <w:spacing w:val="-2"/>
              </w:rPr>
              <w:t>.</w:t>
            </w:r>
          </w:p>
        </w:tc>
        <w:tc>
          <w:tcPr>
            <w:tcW w:w="4410" w:type="dxa"/>
          </w:tcPr>
          <w:p w14:paraId="6135C233" w14:textId="77777777" w:rsidR="0065797E" w:rsidRDefault="0065797E" w:rsidP="00C40496">
            <w:pPr>
              <w:pStyle w:val="NoSpacing"/>
              <w:spacing w:before="90"/>
              <w:jc w:val="both"/>
              <w:rPr>
                <w:snapToGrid w:val="0"/>
              </w:rPr>
            </w:pPr>
            <w:r w:rsidRPr="006255A5">
              <w:rPr>
                <w:snapToGrid w:val="0"/>
              </w:rPr>
              <w:t xml:space="preserve">Acquisition of </w:t>
            </w:r>
            <w:r>
              <w:rPr>
                <w:snapToGrid w:val="0"/>
              </w:rPr>
              <w:t>Various Vehicles and related equipment for the Police Department</w:t>
            </w:r>
            <w:r w:rsidRPr="006255A5">
              <w:rPr>
                <w:snapToGrid w:val="0"/>
              </w:rPr>
              <w:t>, together with the acquisition of all materials and equipment and completion of all work necessary therefor or related thereto</w:t>
            </w:r>
          </w:p>
          <w:p w14:paraId="666800E8" w14:textId="77777777" w:rsidR="0065797E" w:rsidRPr="00791986" w:rsidRDefault="0065797E" w:rsidP="00C40496">
            <w:pPr>
              <w:pStyle w:val="NoSpacing"/>
              <w:spacing w:before="90"/>
              <w:jc w:val="both"/>
              <w:rPr>
                <w:snapToGrid w:val="0"/>
              </w:rPr>
            </w:pPr>
          </w:p>
        </w:tc>
        <w:tc>
          <w:tcPr>
            <w:tcW w:w="1260" w:type="dxa"/>
          </w:tcPr>
          <w:p w14:paraId="3EF7B114" w14:textId="77777777" w:rsidR="0065797E" w:rsidRPr="00791986" w:rsidRDefault="0065797E" w:rsidP="00C40496">
            <w:pPr>
              <w:tabs>
                <w:tab w:val="left" w:pos="-720"/>
              </w:tabs>
              <w:suppressAutoHyphens/>
              <w:spacing w:before="90"/>
              <w:ind w:left="-216" w:right="144"/>
              <w:jc w:val="right"/>
              <w:rPr>
                <w:spacing w:val="-2"/>
              </w:rPr>
            </w:pPr>
            <w:r>
              <w:rPr>
                <w:spacing w:val="-2"/>
              </w:rPr>
              <w:t>$166,000</w:t>
            </w:r>
          </w:p>
        </w:tc>
        <w:tc>
          <w:tcPr>
            <w:tcW w:w="990" w:type="dxa"/>
          </w:tcPr>
          <w:p w14:paraId="3F511C37" w14:textId="77777777" w:rsidR="0065797E" w:rsidRPr="00791986" w:rsidRDefault="0065797E" w:rsidP="00C40496">
            <w:pPr>
              <w:tabs>
                <w:tab w:val="left" w:pos="-720"/>
              </w:tabs>
              <w:suppressAutoHyphens/>
              <w:spacing w:before="90" w:after="54"/>
              <w:ind w:left="-172" w:right="60"/>
              <w:jc w:val="right"/>
              <w:rPr>
                <w:spacing w:val="-2"/>
              </w:rPr>
            </w:pPr>
            <w:r>
              <w:rPr>
                <w:spacing w:val="-2"/>
              </w:rPr>
              <w:t>$8,300</w:t>
            </w:r>
          </w:p>
        </w:tc>
        <w:tc>
          <w:tcPr>
            <w:tcW w:w="1260" w:type="dxa"/>
          </w:tcPr>
          <w:p w14:paraId="25B43C8E" w14:textId="77777777" w:rsidR="0065797E" w:rsidRPr="00791986" w:rsidRDefault="0065797E" w:rsidP="00C40496">
            <w:pPr>
              <w:tabs>
                <w:tab w:val="left" w:pos="-720"/>
              </w:tabs>
              <w:suppressAutoHyphens/>
              <w:spacing w:before="90" w:after="54"/>
              <w:ind w:left="-97" w:right="150"/>
              <w:jc w:val="right"/>
              <w:rPr>
                <w:spacing w:val="-2"/>
              </w:rPr>
            </w:pPr>
            <w:r>
              <w:rPr>
                <w:spacing w:val="-2"/>
              </w:rPr>
              <w:t>$157,700</w:t>
            </w:r>
          </w:p>
        </w:tc>
        <w:tc>
          <w:tcPr>
            <w:tcW w:w="1012" w:type="dxa"/>
          </w:tcPr>
          <w:p w14:paraId="0E83CD82" w14:textId="77777777" w:rsidR="0065797E" w:rsidRPr="00791986" w:rsidRDefault="0065797E" w:rsidP="00C40496">
            <w:pPr>
              <w:tabs>
                <w:tab w:val="left" w:pos="-720"/>
              </w:tabs>
              <w:suppressAutoHyphens/>
              <w:spacing w:before="90" w:after="54"/>
              <w:ind w:left="-120" w:right="103"/>
              <w:jc w:val="right"/>
              <w:rPr>
                <w:spacing w:val="-2"/>
              </w:rPr>
            </w:pPr>
            <w:r>
              <w:rPr>
                <w:spacing w:val="-2"/>
              </w:rPr>
              <w:t>15 years</w:t>
            </w:r>
          </w:p>
        </w:tc>
      </w:tr>
      <w:tr w:rsidR="0065797E" w:rsidRPr="00791986" w14:paraId="4B847D6E" w14:textId="77777777" w:rsidTr="00C40496">
        <w:tblPrEx>
          <w:tblCellMar>
            <w:top w:w="0" w:type="dxa"/>
            <w:bottom w:w="0" w:type="dxa"/>
          </w:tblCellMar>
        </w:tblPrEx>
        <w:tc>
          <w:tcPr>
            <w:tcW w:w="360" w:type="dxa"/>
          </w:tcPr>
          <w:p w14:paraId="65DA3B08" w14:textId="77777777" w:rsidR="0065797E" w:rsidRPr="00791986" w:rsidRDefault="0065797E" w:rsidP="00C40496">
            <w:pPr>
              <w:tabs>
                <w:tab w:val="left" w:pos="-720"/>
              </w:tabs>
              <w:suppressAutoHyphens/>
              <w:ind w:right="-115"/>
              <w:rPr>
                <w:spacing w:val="-2"/>
              </w:rPr>
            </w:pPr>
            <w:r>
              <w:rPr>
                <w:spacing w:val="-2"/>
              </w:rPr>
              <w:t>B</w:t>
            </w:r>
            <w:r w:rsidRPr="00791986">
              <w:rPr>
                <w:spacing w:val="-2"/>
              </w:rPr>
              <w:t>.</w:t>
            </w:r>
          </w:p>
        </w:tc>
        <w:tc>
          <w:tcPr>
            <w:tcW w:w="4410" w:type="dxa"/>
          </w:tcPr>
          <w:p w14:paraId="0017906E" w14:textId="77777777" w:rsidR="0065797E" w:rsidRDefault="0065797E" w:rsidP="00C40496">
            <w:pPr>
              <w:pStyle w:val="NoSpacing"/>
              <w:jc w:val="both"/>
              <w:rPr>
                <w:snapToGrid w:val="0"/>
              </w:rPr>
            </w:pPr>
            <w:r w:rsidRPr="00575279">
              <w:rPr>
                <w:snapToGrid w:val="0"/>
              </w:rPr>
              <w:t xml:space="preserve">Acquisition of Various Vehicles and related equipment for the </w:t>
            </w:r>
            <w:r>
              <w:rPr>
                <w:snapToGrid w:val="0"/>
              </w:rPr>
              <w:t>Public Works</w:t>
            </w:r>
            <w:r w:rsidRPr="00575279">
              <w:rPr>
                <w:snapToGrid w:val="0"/>
              </w:rPr>
              <w:t xml:space="preserve"> Department, together with the acquisition of all materials and equipment and completion of all work necessary therefor or related thereto</w:t>
            </w:r>
          </w:p>
          <w:p w14:paraId="230C7C5E" w14:textId="77777777" w:rsidR="0065797E" w:rsidRPr="00791986" w:rsidRDefault="0065797E" w:rsidP="00C40496">
            <w:pPr>
              <w:pStyle w:val="NoSpacing"/>
              <w:jc w:val="both"/>
              <w:rPr>
                <w:snapToGrid w:val="0"/>
              </w:rPr>
            </w:pPr>
          </w:p>
        </w:tc>
        <w:tc>
          <w:tcPr>
            <w:tcW w:w="1260" w:type="dxa"/>
          </w:tcPr>
          <w:p w14:paraId="310BE2AA" w14:textId="77777777" w:rsidR="0065797E" w:rsidRPr="00791986" w:rsidRDefault="0065797E" w:rsidP="00C40496">
            <w:pPr>
              <w:tabs>
                <w:tab w:val="left" w:pos="-720"/>
              </w:tabs>
              <w:suppressAutoHyphens/>
              <w:spacing w:before="90" w:after="54"/>
              <w:ind w:left="-210" w:right="150"/>
              <w:jc w:val="right"/>
              <w:rPr>
                <w:spacing w:val="-2"/>
              </w:rPr>
            </w:pPr>
            <w:r>
              <w:rPr>
                <w:spacing w:val="-2"/>
              </w:rPr>
              <w:t>130,000</w:t>
            </w:r>
          </w:p>
        </w:tc>
        <w:tc>
          <w:tcPr>
            <w:tcW w:w="990" w:type="dxa"/>
          </w:tcPr>
          <w:p w14:paraId="300363EF" w14:textId="77777777" w:rsidR="0065797E" w:rsidRPr="00791986" w:rsidRDefault="0065797E" w:rsidP="00C40496">
            <w:pPr>
              <w:tabs>
                <w:tab w:val="left" w:pos="-720"/>
              </w:tabs>
              <w:suppressAutoHyphens/>
              <w:spacing w:before="90" w:after="54"/>
              <w:ind w:left="-172" w:right="60"/>
              <w:jc w:val="right"/>
              <w:rPr>
                <w:spacing w:val="-2"/>
              </w:rPr>
            </w:pPr>
            <w:r>
              <w:rPr>
                <w:spacing w:val="-2"/>
              </w:rPr>
              <w:t>6,500</w:t>
            </w:r>
          </w:p>
        </w:tc>
        <w:tc>
          <w:tcPr>
            <w:tcW w:w="1260" w:type="dxa"/>
          </w:tcPr>
          <w:p w14:paraId="0D1D88F1" w14:textId="77777777" w:rsidR="0065797E" w:rsidRPr="00791986" w:rsidRDefault="0065797E" w:rsidP="00C40496">
            <w:pPr>
              <w:tabs>
                <w:tab w:val="left" w:pos="-720"/>
              </w:tabs>
              <w:suppressAutoHyphens/>
              <w:spacing w:before="90" w:after="54"/>
              <w:ind w:left="-97" w:right="150"/>
              <w:jc w:val="right"/>
              <w:rPr>
                <w:spacing w:val="-2"/>
              </w:rPr>
            </w:pPr>
            <w:r>
              <w:rPr>
                <w:spacing w:val="-2"/>
              </w:rPr>
              <w:t>123,500</w:t>
            </w:r>
          </w:p>
        </w:tc>
        <w:tc>
          <w:tcPr>
            <w:tcW w:w="1012" w:type="dxa"/>
          </w:tcPr>
          <w:p w14:paraId="411B331C" w14:textId="77777777" w:rsidR="0065797E" w:rsidRPr="00791986" w:rsidRDefault="0065797E" w:rsidP="00C40496">
            <w:pPr>
              <w:tabs>
                <w:tab w:val="left" w:pos="-720"/>
              </w:tabs>
              <w:suppressAutoHyphens/>
              <w:spacing w:before="90" w:after="54"/>
              <w:ind w:left="-120" w:right="103"/>
              <w:jc w:val="right"/>
              <w:rPr>
                <w:spacing w:val="-2"/>
              </w:rPr>
            </w:pPr>
            <w:r>
              <w:rPr>
                <w:spacing w:val="-2"/>
              </w:rPr>
              <w:t>5 years</w:t>
            </w:r>
          </w:p>
        </w:tc>
      </w:tr>
      <w:tr w:rsidR="0065797E" w:rsidRPr="00791986" w14:paraId="5C4A8BBD" w14:textId="77777777" w:rsidTr="00C40496">
        <w:tblPrEx>
          <w:tblCellMar>
            <w:top w:w="0" w:type="dxa"/>
            <w:bottom w:w="0" w:type="dxa"/>
          </w:tblCellMar>
        </w:tblPrEx>
        <w:tc>
          <w:tcPr>
            <w:tcW w:w="360" w:type="dxa"/>
          </w:tcPr>
          <w:p w14:paraId="34CCD102" w14:textId="77777777" w:rsidR="0065797E" w:rsidRDefault="0065797E" w:rsidP="00C40496">
            <w:pPr>
              <w:tabs>
                <w:tab w:val="left" w:pos="-720"/>
              </w:tabs>
              <w:suppressAutoHyphens/>
              <w:ind w:right="-115"/>
              <w:rPr>
                <w:spacing w:val="-2"/>
              </w:rPr>
            </w:pPr>
            <w:r>
              <w:rPr>
                <w:spacing w:val="-2"/>
              </w:rPr>
              <w:t>C.</w:t>
            </w:r>
          </w:p>
        </w:tc>
        <w:tc>
          <w:tcPr>
            <w:tcW w:w="4410" w:type="dxa"/>
          </w:tcPr>
          <w:p w14:paraId="307B10B8" w14:textId="77777777" w:rsidR="0065797E" w:rsidRDefault="0065797E" w:rsidP="00C40496">
            <w:pPr>
              <w:pStyle w:val="NoSpacing"/>
              <w:jc w:val="both"/>
              <w:rPr>
                <w:snapToGrid w:val="0"/>
              </w:rPr>
            </w:pPr>
            <w:r w:rsidRPr="00575279">
              <w:rPr>
                <w:snapToGrid w:val="0"/>
              </w:rPr>
              <w:t xml:space="preserve">Acquisition of Various </w:t>
            </w:r>
            <w:r>
              <w:rPr>
                <w:snapToGrid w:val="0"/>
              </w:rPr>
              <w:t>Equipment</w:t>
            </w:r>
            <w:r w:rsidRPr="00575279">
              <w:rPr>
                <w:snapToGrid w:val="0"/>
              </w:rPr>
              <w:t xml:space="preserve"> for the Public Works Department</w:t>
            </w:r>
            <w:r>
              <w:rPr>
                <w:snapToGrid w:val="0"/>
              </w:rPr>
              <w:t xml:space="preserve"> including, but not limited to Mower and Diesel/Gas Pump</w:t>
            </w:r>
            <w:r w:rsidRPr="00575279">
              <w:rPr>
                <w:snapToGrid w:val="0"/>
              </w:rPr>
              <w:t>, together with the acquisition of all materials and equipment and completion of all work necessary therefor or related thereto</w:t>
            </w:r>
          </w:p>
          <w:p w14:paraId="7C3D3842" w14:textId="77777777" w:rsidR="0065797E" w:rsidRPr="00791986" w:rsidRDefault="0065797E" w:rsidP="00C40496">
            <w:pPr>
              <w:pStyle w:val="NoSpacing"/>
              <w:jc w:val="both"/>
              <w:rPr>
                <w:snapToGrid w:val="0"/>
              </w:rPr>
            </w:pPr>
          </w:p>
        </w:tc>
        <w:tc>
          <w:tcPr>
            <w:tcW w:w="1260" w:type="dxa"/>
          </w:tcPr>
          <w:p w14:paraId="53A43EE0" w14:textId="77777777" w:rsidR="0065797E" w:rsidRDefault="0065797E" w:rsidP="00C40496">
            <w:pPr>
              <w:tabs>
                <w:tab w:val="left" w:pos="-720"/>
              </w:tabs>
              <w:suppressAutoHyphens/>
              <w:spacing w:before="90" w:after="54"/>
              <w:ind w:left="-210" w:right="150"/>
              <w:jc w:val="right"/>
              <w:rPr>
                <w:spacing w:val="-2"/>
              </w:rPr>
            </w:pPr>
            <w:r>
              <w:rPr>
                <w:spacing w:val="-2"/>
              </w:rPr>
              <w:t>59,000</w:t>
            </w:r>
          </w:p>
        </w:tc>
        <w:tc>
          <w:tcPr>
            <w:tcW w:w="990" w:type="dxa"/>
          </w:tcPr>
          <w:p w14:paraId="5F0CFDCD" w14:textId="77777777" w:rsidR="0065797E" w:rsidRDefault="0065797E" w:rsidP="00C40496">
            <w:pPr>
              <w:tabs>
                <w:tab w:val="left" w:pos="-720"/>
              </w:tabs>
              <w:suppressAutoHyphens/>
              <w:spacing w:before="90" w:after="54"/>
              <w:ind w:left="-172" w:right="60"/>
              <w:jc w:val="right"/>
              <w:rPr>
                <w:spacing w:val="-2"/>
              </w:rPr>
            </w:pPr>
            <w:r>
              <w:rPr>
                <w:spacing w:val="-2"/>
              </w:rPr>
              <w:t>2,950</w:t>
            </w:r>
          </w:p>
        </w:tc>
        <w:tc>
          <w:tcPr>
            <w:tcW w:w="1260" w:type="dxa"/>
          </w:tcPr>
          <w:p w14:paraId="107186EE" w14:textId="77777777" w:rsidR="0065797E" w:rsidRDefault="0065797E" w:rsidP="00C40496">
            <w:pPr>
              <w:tabs>
                <w:tab w:val="left" w:pos="-720"/>
              </w:tabs>
              <w:suppressAutoHyphens/>
              <w:spacing w:before="90" w:after="54"/>
              <w:ind w:left="-97" w:right="150"/>
              <w:jc w:val="right"/>
              <w:rPr>
                <w:spacing w:val="-2"/>
              </w:rPr>
            </w:pPr>
            <w:r>
              <w:rPr>
                <w:spacing w:val="-2"/>
              </w:rPr>
              <w:t>56,050</w:t>
            </w:r>
          </w:p>
        </w:tc>
        <w:tc>
          <w:tcPr>
            <w:tcW w:w="1012" w:type="dxa"/>
          </w:tcPr>
          <w:p w14:paraId="6E5209B0" w14:textId="77777777" w:rsidR="0065797E" w:rsidRDefault="0065797E" w:rsidP="00C40496">
            <w:pPr>
              <w:tabs>
                <w:tab w:val="left" w:pos="-720"/>
              </w:tabs>
              <w:suppressAutoHyphens/>
              <w:spacing w:before="90" w:after="54"/>
              <w:ind w:left="-120" w:right="103"/>
              <w:jc w:val="right"/>
              <w:rPr>
                <w:spacing w:val="-2"/>
              </w:rPr>
            </w:pPr>
            <w:r>
              <w:rPr>
                <w:spacing w:val="-2"/>
              </w:rPr>
              <w:t>15 years</w:t>
            </w:r>
          </w:p>
        </w:tc>
      </w:tr>
      <w:tr w:rsidR="0065797E" w:rsidRPr="00791986" w14:paraId="76D2B299" w14:textId="77777777" w:rsidTr="00C40496">
        <w:tblPrEx>
          <w:tblCellMar>
            <w:top w:w="0" w:type="dxa"/>
            <w:bottom w:w="0" w:type="dxa"/>
          </w:tblCellMar>
        </w:tblPrEx>
        <w:tc>
          <w:tcPr>
            <w:tcW w:w="360" w:type="dxa"/>
          </w:tcPr>
          <w:p w14:paraId="32DFB398" w14:textId="77777777" w:rsidR="0065797E" w:rsidRDefault="0065797E" w:rsidP="00C40496">
            <w:pPr>
              <w:tabs>
                <w:tab w:val="left" w:pos="-720"/>
              </w:tabs>
              <w:suppressAutoHyphens/>
              <w:ind w:right="-115"/>
              <w:rPr>
                <w:spacing w:val="-2"/>
              </w:rPr>
            </w:pPr>
            <w:r>
              <w:rPr>
                <w:spacing w:val="-2"/>
              </w:rPr>
              <w:t>D.</w:t>
            </w:r>
          </w:p>
        </w:tc>
        <w:tc>
          <w:tcPr>
            <w:tcW w:w="4410" w:type="dxa"/>
          </w:tcPr>
          <w:p w14:paraId="4AF99134" w14:textId="77777777" w:rsidR="0065797E" w:rsidRDefault="0065797E" w:rsidP="00C40496">
            <w:pPr>
              <w:pStyle w:val="NoSpacing"/>
              <w:jc w:val="both"/>
              <w:rPr>
                <w:snapToGrid w:val="0"/>
              </w:rPr>
            </w:pPr>
            <w:r>
              <w:rPr>
                <w:snapToGrid w:val="0"/>
              </w:rPr>
              <w:t xml:space="preserve">Improvements and Upgrades to Various Borough Buildings and Facilities, </w:t>
            </w:r>
            <w:r w:rsidRPr="00070CC8">
              <w:rPr>
                <w:snapToGrid w:val="0"/>
              </w:rPr>
              <w:t>together with the acquisition of all materials and equipment and completion of all work necessary therefor or related thereto</w:t>
            </w:r>
          </w:p>
          <w:p w14:paraId="63446090" w14:textId="77777777" w:rsidR="0065797E" w:rsidRPr="00575279" w:rsidRDefault="0065797E" w:rsidP="00C40496">
            <w:pPr>
              <w:pStyle w:val="NoSpacing"/>
              <w:jc w:val="both"/>
              <w:rPr>
                <w:snapToGrid w:val="0"/>
              </w:rPr>
            </w:pPr>
          </w:p>
        </w:tc>
        <w:tc>
          <w:tcPr>
            <w:tcW w:w="1260" w:type="dxa"/>
          </w:tcPr>
          <w:p w14:paraId="51396B00" w14:textId="77777777" w:rsidR="0065797E" w:rsidRDefault="0065797E" w:rsidP="00C40496">
            <w:pPr>
              <w:tabs>
                <w:tab w:val="left" w:pos="-720"/>
              </w:tabs>
              <w:suppressAutoHyphens/>
              <w:spacing w:before="90" w:after="54"/>
              <w:ind w:left="-210" w:right="150"/>
              <w:jc w:val="right"/>
              <w:rPr>
                <w:spacing w:val="-2"/>
              </w:rPr>
            </w:pPr>
            <w:r>
              <w:rPr>
                <w:spacing w:val="-2"/>
              </w:rPr>
              <w:t>100,000</w:t>
            </w:r>
          </w:p>
        </w:tc>
        <w:tc>
          <w:tcPr>
            <w:tcW w:w="990" w:type="dxa"/>
          </w:tcPr>
          <w:p w14:paraId="22CAAE0D" w14:textId="77777777" w:rsidR="0065797E" w:rsidRDefault="0065797E" w:rsidP="00C40496">
            <w:pPr>
              <w:tabs>
                <w:tab w:val="left" w:pos="-720"/>
              </w:tabs>
              <w:suppressAutoHyphens/>
              <w:spacing w:before="90" w:after="54"/>
              <w:ind w:left="-172" w:right="60"/>
              <w:jc w:val="right"/>
              <w:rPr>
                <w:spacing w:val="-2"/>
              </w:rPr>
            </w:pPr>
            <w:r>
              <w:rPr>
                <w:spacing w:val="-2"/>
              </w:rPr>
              <w:t>5,000</w:t>
            </w:r>
          </w:p>
        </w:tc>
        <w:tc>
          <w:tcPr>
            <w:tcW w:w="1260" w:type="dxa"/>
          </w:tcPr>
          <w:p w14:paraId="5483F466" w14:textId="77777777" w:rsidR="0065797E" w:rsidRDefault="0065797E" w:rsidP="00C40496">
            <w:pPr>
              <w:tabs>
                <w:tab w:val="left" w:pos="-720"/>
              </w:tabs>
              <w:suppressAutoHyphens/>
              <w:spacing w:before="90" w:after="54"/>
              <w:ind w:left="-97" w:right="150"/>
              <w:jc w:val="right"/>
              <w:rPr>
                <w:spacing w:val="-2"/>
              </w:rPr>
            </w:pPr>
            <w:r>
              <w:rPr>
                <w:spacing w:val="-2"/>
              </w:rPr>
              <w:t>95,000</w:t>
            </w:r>
          </w:p>
        </w:tc>
        <w:tc>
          <w:tcPr>
            <w:tcW w:w="1012" w:type="dxa"/>
          </w:tcPr>
          <w:p w14:paraId="6543D86D" w14:textId="77777777" w:rsidR="0065797E" w:rsidRDefault="0065797E" w:rsidP="00C40496">
            <w:pPr>
              <w:tabs>
                <w:tab w:val="left" w:pos="-720"/>
              </w:tabs>
              <w:suppressAutoHyphens/>
              <w:spacing w:before="90" w:after="54"/>
              <w:ind w:left="-120" w:right="103"/>
              <w:jc w:val="right"/>
              <w:rPr>
                <w:spacing w:val="-2"/>
              </w:rPr>
            </w:pPr>
            <w:r>
              <w:rPr>
                <w:spacing w:val="-2"/>
              </w:rPr>
              <w:t>15 years</w:t>
            </w:r>
          </w:p>
        </w:tc>
      </w:tr>
      <w:tr w:rsidR="0065797E" w:rsidRPr="00791986" w14:paraId="6227A080" w14:textId="77777777" w:rsidTr="00C40496">
        <w:tblPrEx>
          <w:tblCellMar>
            <w:top w:w="0" w:type="dxa"/>
            <w:bottom w:w="0" w:type="dxa"/>
          </w:tblCellMar>
        </w:tblPrEx>
        <w:tc>
          <w:tcPr>
            <w:tcW w:w="360" w:type="dxa"/>
          </w:tcPr>
          <w:p w14:paraId="0C1A9218" w14:textId="77777777" w:rsidR="0065797E" w:rsidRDefault="0065797E" w:rsidP="00C40496">
            <w:pPr>
              <w:tabs>
                <w:tab w:val="left" w:pos="-720"/>
              </w:tabs>
              <w:suppressAutoHyphens/>
              <w:ind w:right="-115"/>
              <w:rPr>
                <w:spacing w:val="-2"/>
              </w:rPr>
            </w:pPr>
            <w:r>
              <w:rPr>
                <w:spacing w:val="-2"/>
              </w:rPr>
              <w:t>D.</w:t>
            </w:r>
          </w:p>
        </w:tc>
        <w:tc>
          <w:tcPr>
            <w:tcW w:w="4410" w:type="dxa"/>
          </w:tcPr>
          <w:p w14:paraId="72635598" w14:textId="77777777" w:rsidR="0065797E" w:rsidRDefault="0065797E" w:rsidP="00C40496">
            <w:pPr>
              <w:pStyle w:val="NoSpacing"/>
              <w:jc w:val="both"/>
              <w:rPr>
                <w:snapToGrid w:val="0"/>
              </w:rPr>
            </w:pPr>
            <w:r>
              <w:rPr>
                <w:snapToGrid w:val="0"/>
              </w:rPr>
              <w:t>Acquisition of an Ambulance</w:t>
            </w:r>
            <w:r w:rsidRPr="00575279">
              <w:rPr>
                <w:snapToGrid w:val="0"/>
              </w:rPr>
              <w:t xml:space="preserve">, together with the acquisition of all materials and equipment and </w:t>
            </w:r>
            <w:r w:rsidRPr="00575279">
              <w:rPr>
                <w:snapToGrid w:val="0"/>
              </w:rPr>
              <w:lastRenderedPageBreak/>
              <w:t>completion of all work necessary therefor or related thereto</w:t>
            </w:r>
          </w:p>
          <w:p w14:paraId="67D78EDE" w14:textId="77777777" w:rsidR="0065797E" w:rsidRPr="00791986" w:rsidRDefault="0065797E" w:rsidP="00C40496">
            <w:pPr>
              <w:pStyle w:val="NoSpacing"/>
              <w:jc w:val="both"/>
              <w:rPr>
                <w:snapToGrid w:val="0"/>
              </w:rPr>
            </w:pPr>
          </w:p>
        </w:tc>
        <w:tc>
          <w:tcPr>
            <w:tcW w:w="1260" w:type="dxa"/>
          </w:tcPr>
          <w:p w14:paraId="5390D528" w14:textId="77777777" w:rsidR="0065797E" w:rsidRDefault="0065797E" w:rsidP="00C40496">
            <w:pPr>
              <w:tabs>
                <w:tab w:val="left" w:pos="-720"/>
              </w:tabs>
              <w:suppressAutoHyphens/>
              <w:spacing w:before="90" w:after="54"/>
              <w:ind w:left="-210" w:right="150"/>
              <w:jc w:val="right"/>
              <w:rPr>
                <w:spacing w:val="-2"/>
              </w:rPr>
            </w:pPr>
            <w:r>
              <w:rPr>
                <w:spacing w:val="-2"/>
              </w:rPr>
              <w:lastRenderedPageBreak/>
              <w:t>$40,000</w:t>
            </w:r>
          </w:p>
        </w:tc>
        <w:tc>
          <w:tcPr>
            <w:tcW w:w="990" w:type="dxa"/>
          </w:tcPr>
          <w:p w14:paraId="764E38B1" w14:textId="77777777" w:rsidR="0065797E" w:rsidRDefault="0065797E" w:rsidP="00C40496">
            <w:pPr>
              <w:tabs>
                <w:tab w:val="left" w:pos="-720"/>
              </w:tabs>
              <w:suppressAutoHyphens/>
              <w:spacing w:before="90" w:after="54"/>
              <w:ind w:left="-172" w:right="60"/>
              <w:jc w:val="right"/>
              <w:rPr>
                <w:spacing w:val="-2"/>
              </w:rPr>
            </w:pPr>
            <w:r>
              <w:rPr>
                <w:spacing w:val="-2"/>
              </w:rPr>
              <w:t>$2,000</w:t>
            </w:r>
          </w:p>
        </w:tc>
        <w:tc>
          <w:tcPr>
            <w:tcW w:w="1260" w:type="dxa"/>
          </w:tcPr>
          <w:p w14:paraId="31E1E459" w14:textId="77777777" w:rsidR="0065797E" w:rsidRDefault="0065797E" w:rsidP="00C40496">
            <w:pPr>
              <w:tabs>
                <w:tab w:val="left" w:pos="-720"/>
              </w:tabs>
              <w:suppressAutoHyphens/>
              <w:spacing w:before="90" w:after="54"/>
              <w:ind w:left="-97" w:right="150"/>
              <w:jc w:val="right"/>
              <w:rPr>
                <w:spacing w:val="-2"/>
              </w:rPr>
            </w:pPr>
            <w:r>
              <w:rPr>
                <w:spacing w:val="-2"/>
              </w:rPr>
              <w:t>$38,000</w:t>
            </w:r>
          </w:p>
        </w:tc>
        <w:tc>
          <w:tcPr>
            <w:tcW w:w="1012" w:type="dxa"/>
          </w:tcPr>
          <w:p w14:paraId="42020286" w14:textId="77777777" w:rsidR="0065797E" w:rsidRDefault="0065797E" w:rsidP="00C40496">
            <w:pPr>
              <w:tabs>
                <w:tab w:val="left" w:pos="-720"/>
              </w:tabs>
              <w:suppressAutoHyphens/>
              <w:spacing w:before="90" w:after="54"/>
              <w:ind w:left="-120" w:right="103"/>
              <w:jc w:val="right"/>
              <w:rPr>
                <w:spacing w:val="-2"/>
              </w:rPr>
            </w:pPr>
            <w:r>
              <w:rPr>
                <w:spacing w:val="-2"/>
              </w:rPr>
              <w:t>5 years</w:t>
            </w:r>
          </w:p>
        </w:tc>
      </w:tr>
      <w:tr w:rsidR="0065797E" w:rsidRPr="00791986" w14:paraId="2B821347" w14:textId="77777777" w:rsidTr="00C40496">
        <w:tblPrEx>
          <w:tblCellMar>
            <w:top w:w="0" w:type="dxa"/>
            <w:bottom w:w="0" w:type="dxa"/>
          </w:tblCellMar>
        </w:tblPrEx>
        <w:tc>
          <w:tcPr>
            <w:tcW w:w="360" w:type="dxa"/>
          </w:tcPr>
          <w:p w14:paraId="254535D4" w14:textId="77777777" w:rsidR="0065797E" w:rsidRDefault="0065797E" w:rsidP="00C40496">
            <w:pPr>
              <w:tabs>
                <w:tab w:val="left" w:pos="-720"/>
              </w:tabs>
              <w:suppressAutoHyphens/>
              <w:ind w:right="-115"/>
              <w:rPr>
                <w:spacing w:val="-2"/>
              </w:rPr>
            </w:pPr>
            <w:r>
              <w:rPr>
                <w:spacing w:val="-2"/>
              </w:rPr>
              <w:t>E.</w:t>
            </w:r>
          </w:p>
        </w:tc>
        <w:tc>
          <w:tcPr>
            <w:tcW w:w="4410" w:type="dxa"/>
          </w:tcPr>
          <w:p w14:paraId="6B2ECBFF" w14:textId="77777777" w:rsidR="0065797E" w:rsidRDefault="0065797E" w:rsidP="00C40496">
            <w:pPr>
              <w:pStyle w:val="NoSpacing"/>
              <w:jc w:val="both"/>
              <w:rPr>
                <w:snapToGrid w:val="0"/>
              </w:rPr>
            </w:pPr>
            <w:r w:rsidRPr="00575279">
              <w:rPr>
                <w:snapToGrid w:val="0"/>
              </w:rPr>
              <w:t xml:space="preserve">Reconstruction and/or Repaving of Various Streets and Roads in the Borough including, but not limited to, </w:t>
            </w:r>
            <w:r>
              <w:rPr>
                <w:snapToGrid w:val="0"/>
              </w:rPr>
              <w:t>Cypress</w:t>
            </w:r>
            <w:r w:rsidRPr="00575279">
              <w:rPr>
                <w:snapToGrid w:val="0"/>
              </w:rPr>
              <w:t xml:space="preserve"> Avenue</w:t>
            </w:r>
            <w:r>
              <w:rPr>
                <w:snapToGrid w:val="0"/>
              </w:rPr>
              <w:t xml:space="preserve"> and Gloucester Avenue</w:t>
            </w:r>
            <w:r w:rsidRPr="00575279">
              <w:rPr>
                <w:snapToGrid w:val="0"/>
              </w:rPr>
              <w:t>, together with the acquisition of all materials and equipment and completion of all work necessary therefor or related thereto</w:t>
            </w:r>
          </w:p>
          <w:p w14:paraId="7D54E880" w14:textId="77777777" w:rsidR="0065797E" w:rsidRPr="00575279" w:rsidRDefault="0065797E" w:rsidP="00C40496">
            <w:pPr>
              <w:pStyle w:val="NoSpacing"/>
              <w:jc w:val="both"/>
              <w:rPr>
                <w:snapToGrid w:val="0"/>
              </w:rPr>
            </w:pPr>
          </w:p>
        </w:tc>
        <w:tc>
          <w:tcPr>
            <w:tcW w:w="1260" w:type="dxa"/>
          </w:tcPr>
          <w:p w14:paraId="3D6861DF" w14:textId="77777777" w:rsidR="0065797E" w:rsidRDefault="0065797E" w:rsidP="00C40496">
            <w:pPr>
              <w:tabs>
                <w:tab w:val="left" w:pos="-720"/>
              </w:tabs>
              <w:suppressAutoHyphens/>
              <w:spacing w:before="90" w:after="54"/>
              <w:ind w:left="-210" w:right="150"/>
              <w:jc w:val="right"/>
              <w:rPr>
                <w:spacing w:val="-2"/>
              </w:rPr>
            </w:pPr>
            <w:r>
              <w:rPr>
                <w:spacing w:val="-2"/>
              </w:rPr>
              <w:t>79,625</w:t>
            </w:r>
          </w:p>
        </w:tc>
        <w:tc>
          <w:tcPr>
            <w:tcW w:w="990" w:type="dxa"/>
          </w:tcPr>
          <w:p w14:paraId="687F8D16" w14:textId="77777777" w:rsidR="0065797E" w:rsidRDefault="0065797E" w:rsidP="00C40496">
            <w:pPr>
              <w:tabs>
                <w:tab w:val="left" w:pos="-720"/>
              </w:tabs>
              <w:suppressAutoHyphens/>
              <w:spacing w:before="90" w:after="54"/>
              <w:ind w:left="-172" w:right="60"/>
              <w:jc w:val="right"/>
              <w:rPr>
                <w:spacing w:val="-2"/>
              </w:rPr>
            </w:pPr>
            <w:r>
              <w:rPr>
                <w:spacing w:val="-2"/>
              </w:rPr>
              <w:t>3,981</w:t>
            </w:r>
          </w:p>
        </w:tc>
        <w:tc>
          <w:tcPr>
            <w:tcW w:w="1260" w:type="dxa"/>
          </w:tcPr>
          <w:p w14:paraId="00548679" w14:textId="77777777" w:rsidR="0065797E" w:rsidRDefault="0065797E" w:rsidP="00C40496">
            <w:pPr>
              <w:tabs>
                <w:tab w:val="left" w:pos="-720"/>
              </w:tabs>
              <w:suppressAutoHyphens/>
              <w:spacing w:before="90" w:after="54"/>
              <w:ind w:left="-97" w:right="150"/>
              <w:jc w:val="right"/>
              <w:rPr>
                <w:spacing w:val="-2"/>
              </w:rPr>
            </w:pPr>
            <w:r>
              <w:rPr>
                <w:spacing w:val="-2"/>
              </w:rPr>
              <w:t>75,644</w:t>
            </w:r>
          </w:p>
        </w:tc>
        <w:tc>
          <w:tcPr>
            <w:tcW w:w="1012" w:type="dxa"/>
          </w:tcPr>
          <w:p w14:paraId="45B77EA3" w14:textId="77777777" w:rsidR="0065797E" w:rsidRDefault="0065797E" w:rsidP="00C40496">
            <w:pPr>
              <w:tabs>
                <w:tab w:val="left" w:pos="-720"/>
              </w:tabs>
              <w:suppressAutoHyphens/>
              <w:spacing w:before="90" w:after="54"/>
              <w:ind w:left="-120" w:right="103"/>
              <w:jc w:val="right"/>
              <w:rPr>
                <w:spacing w:val="-2"/>
              </w:rPr>
            </w:pPr>
            <w:r>
              <w:rPr>
                <w:spacing w:val="-2"/>
              </w:rPr>
              <w:t>10 years</w:t>
            </w:r>
          </w:p>
        </w:tc>
      </w:tr>
      <w:tr w:rsidR="0065797E" w:rsidRPr="00791986" w14:paraId="54D4939C" w14:textId="77777777" w:rsidTr="00C40496">
        <w:tblPrEx>
          <w:tblCellMar>
            <w:top w:w="0" w:type="dxa"/>
            <w:bottom w:w="0" w:type="dxa"/>
          </w:tblCellMar>
        </w:tblPrEx>
        <w:tc>
          <w:tcPr>
            <w:tcW w:w="360" w:type="dxa"/>
          </w:tcPr>
          <w:p w14:paraId="382A4769" w14:textId="77777777" w:rsidR="0065797E" w:rsidRDefault="0065797E" w:rsidP="00C40496">
            <w:pPr>
              <w:tabs>
                <w:tab w:val="left" w:pos="-720"/>
              </w:tabs>
              <w:suppressAutoHyphens/>
              <w:ind w:right="-115"/>
              <w:rPr>
                <w:spacing w:val="-2"/>
              </w:rPr>
            </w:pPr>
            <w:r>
              <w:rPr>
                <w:spacing w:val="-2"/>
              </w:rPr>
              <w:t>F.</w:t>
            </w:r>
          </w:p>
        </w:tc>
        <w:tc>
          <w:tcPr>
            <w:tcW w:w="4410" w:type="dxa"/>
          </w:tcPr>
          <w:p w14:paraId="49025EF6" w14:textId="77777777" w:rsidR="0065797E" w:rsidRPr="00575279" w:rsidRDefault="0065797E" w:rsidP="00C40496">
            <w:pPr>
              <w:pStyle w:val="NoSpacing"/>
              <w:jc w:val="both"/>
              <w:rPr>
                <w:snapToGrid w:val="0"/>
              </w:rPr>
            </w:pPr>
            <w:r>
              <w:rPr>
                <w:snapToGrid w:val="0"/>
              </w:rPr>
              <w:t>Various Field Improvements to Borough Recreational Facilities,</w:t>
            </w:r>
            <w:r>
              <w:t xml:space="preserve"> </w:t>
            </w:r>
            <w:r w:rsidRPr="00070CC8">
              <w:rPr>
                <w:snapToGrid w:val="0"/>
              </w:rPr>
              <w:t>together with the acquisition of all materials and equipment and completion of all work necessary therefor or related thereto</w:t>
            </w:r>
          </w:p>
        </w:tc>
        <w:tc>
          <w:tcPr>
            <w:tcW w:w="1260" w:type="dxa"/>
          </w:tcPr>
          <w:p w14:paraId="7B01D8B5" w14:textId="77777777" w:rsidR="0065797E" w:rsidRDefault="0065797E" w:rsidP="00C40496">
            <w:pPr>
              <w:tabs>
                <w:tab w:val="left" w:pos="-720"/>
              </w:tabs>
              <w:suppressAutoHyphens/>
              <w:spacing w:before="90" w:after="54"/>
              <w:ind w:left="-210" w:right="150"/>
              <w:jc w:val="right"/>
              <w:rPr>
                <w:spacing w:val="-2"/>
              </w:rPr>
            </w:pPr>
            <w:r>
              <w:rPr>
                <w:spacing w:val="-2"/>
              </w:rPr>
              <w:t>15,000</w:t>
            </w:r>
          </w:p>
        </w:tc>
        <w:tc>
          <w:tcPr>
            <w:tcW w:w="990" w:type="dxa"/>
          </w:tcPr>
          <w:p w14:paraId="10E393B0" w14:textId="77777777" w:rsidR="0065797E" w:rsidRDefault="0065797E" w:rsidP="00C40496">
            <w:pPr>
              <w:tabs>
                <w:tab w:val="left" w:pos="-720"/>
              </w:tabs>
              <w:suppressAutoHyphens/>
              <w:spacing w:before="90" w:after="54"/>
              <w:ind w:left="-172" w:right="60"/>
              <w:jc w:val="right"/>
              <w:rPr>
                <w:spacing w:val="-2"/>
              </w:rPr>
            </w:pPr>
            <w:r>
              <w:rPr>
                <w:spacing w:val="-2"/>
              </w:rPr>
              <w:t>750</w:t>
            </w:r>
          </w:p>
        </w:tc>
        <w:tc>
          <w:tcPr>
            <w:tcW w:w="1260" w:type="dxa"/>
          </w:tcPr>
          <w:p w14:paraId="05A58B33" w14:textId="77777777" w:rsidR="0065797E" w:rsidRDefault="0065797E" w:rsidP="00C40496">
            <w:pPr>
              <w:tabs>
                <w:tab w:val="left" w:pos="-720"/>
              </w:tabs>
              <w:suppressAutoHyphens/>
              <w:spacing w:before="90" w:after="54"/>
              <w:ind w:left="-97" w:right="150"/>
              <w:jc w:val="right"/>
              <w:rPr>
                <w:spacing w:val="-2"/>
              </w:rPr>
            </w:pPr>
            <w:r>
              <w:rPr>
                <w:spacing w:val="-2"/>
              </w:rPr>
              <w:t>14,250</w:t>
            </w:r>
          </w:p>
        </w:tc>
        <w:tc>
          <w:tcPr>
            <w:tcW w:w="1012" w:type="dxa"/>
          </w:tcPr>
          <w:p w14:paraId="3AD9E936" w14:textId="77777777" w:rsidR="0065797E" w:rsidRDefault="0065797E" w:rsidP="00C40496">
            <w:pPr>
              <w:tabs>
                <w:tab w:val="left" w:pos="-720"/>
              </w:tabs>
              <w:suppressAutoHyphens/>
              <w:spacing w:before="90" w:after="54"/>
              <w:ind w:left="-120" w:right="103"/>
              <w:jc w:val="right"/>
              <w:rPr>
                <w:spacing w:val="-2"/>
              </w:rPr>
            </w:pPr>
            <w:r>
              <w:rPr>
                <w:spacing w:val="-2"/>
              </w:rPr>
              <w:t>15 years</w:t>
            </w:r>
          </w:p>
        </w:tc>
      </w:tr>
    </w:tbl>
    <w:p w14:paraId="7A2F9D16" w14:textId="77777777" w:rsidR="0065797E" w:rsidRPr="00621C85" w:rsidRDefault="0065797E" w:rsidP="0065797E">
      <w:pPr>
        <w:tabs>
          <w:tab w:val="left" w:pos="-720"/>
        </w:tabs>
        <w:suppressAutoHyphens/>
        <w:spacing w:after="54"/>
        <w:jc w:val="both"/>
        <w:rPr>
          <w:rFonts w:ascii="Times" w:hAnsi="Times"/>
          <w:spacing w:val="-2"/>
          <w:sz w:val="10"/>
          <w:szCs w:val="10"/>
        </w:rPr>
      </w:pPr>
    </w:p>
    <w:p w14:paraId="0FAA57E5" w14:textId="77777777" w:rsidR="0065797E" w:rsidRPr="004604C6" w:rsidRDefault="0065797E" w:rsidP="0065797E">
      <w:pPr>
        <w:tabs>
          <w:tab w:val="left" w:pos="-720"/>
        </w:tabs>
        <w:suppressAutoHyphens/>
        <w:jc w:val="both"/>
        <w:rPr>
          <w:rFonts w:ascii="Times" w:hAnsi="Times"/>
          <w:spacing w:val="-2"/>
          <w:sz w:val="24"/>
          <w:szCs w:val="24"/>
        </w:rPr>
      </w:pPr>
      <w:r w:rsidRPr="004604C6">
        <w:rPr>
          <w:rFonts w:ascii="Times" w:hAnsi="Times"/>
          <w:spacing w:val="-2"/>
          <w:sz w:val="24"/>
          <w:szCs w:val="24"/>
        </w:rPr>
        <w:t>Appropriation:</w:t>
      </w:r>
      <w:r w:rsidRPr="004604C6">
        <w:rPr>
          <w:rFonts w:ascii="Times" w:hAnsi="Times"/>
          <w:spacing w:val="-2"/>
          <w:sz w:val="24"/>
          <w:szCs w:val="24"/>
        </w:rPr>
        <w:tab/>
      </w:r>
      <w:r w:rsidRPr="004604C6">
        <w:rPr>
          <w:rFonts w:ascii="Times" w:hAnsi="Times"/>
          <w:spacing w:val="-2"/>
          <w:sz w:val="24"/>
          <w:szCs w:val="24"/>
        </w:rPr>
        <w:tab/>
      </w:r>
      <w:r w:rsidRPr="004604C6">
        <w:rPr>
          <w:rFonts w:ascii="Times" w:hAnsi="Times"/>
          <w:spacing w:val="-2"/>
          <w:sz w:val="24"/>
          <w:szCs w:val="24"/>
        </w:rPr>
        <w:tab/>
        <w:t>$589,625</w:t>
      </w:r>
    </w:p>
    <w:p w14:paraId="14FAAC42" w14:textId="77777777" w:rsidR="0065797E" w:rsidRPr="004604C6" w:rsidRDefault="0065797E" w:rsidP="0065797E">
      <w:pPr>
        <w:tabs>
          <w:tab w:val="left" w:pos="-720"/>
        </w:tabs>
        <w:suppressAutoHyphens/>
        <w:jc w:val="both"/>
        <w:rPr>
          <w:rFonts w:ascii="Times" w:hAnsi="Times"/>
          <w:spacing w:val="-2"/>
          <w:sz w:val="24"/>
          <w:szCs w:val="24"/>
        </w:rPr>
      </w:pPr>
      <w:r w:rsidRPr="004604C6">
        <w:rPr>
          <w:rFonts w:ascii="Times" w:hAnsi="Times"/>
          <w:spacing w:val="-2"/>
          <w:sz w:val="24"/>
          <w:szCs w:val="24"/>
        </w:rPr>
        <w:t>Bonds/Notes Authorized:</w:t>
      </w:r>
      <w:r w:rsidRPr="004604C6">
        <w:rPr>
          <w:rFonts w:ascii="Times" w:hAnsi="Times"/>
          <w:spacing w:val="-2"/>
          <w:sz w:val="24"/>
          <w:szCs w:val="24"/>
        </w:rPr>
        <w:tab/>
        <w:t>$560,144</w:t>
      </w:r>
    </w:p>
    <w:p w14:paraId="6FAF1F10" w14:textId="77777777" w:rsidR="0065797E" w:rsidRPr="004604C6" w:rsidRDefault="0065797E" w:rsidP="0065797E">
      <w:pPr>
        <w:tabs>
          <w:tab w:val="left" w:pos="-720"/>
        </w:tabs>
        <w:suppressAutoHyphens/>
        <w:jc w:val="both"/>
        <w:rPr>
          <w:rFonts w:ascii="Times" w:hAnsi="Times"/>
          <w:spacing w:val="-2"/>
          <w:sz w:val="24"/>
          <w:szCs w:val="24"/>
        </w:rPr>
      </w:pPr>
      <w:r w:rsidRPr="004604C6">
        <w:rPr>
          <w:rFonts w:ascii="Times" w:hAnsi="Times"/>
          <w:spacing w:val="-2"/>
          <w:sz w:val="24"/>
          <w:szCs w:val="24"/>
        </w:rPr>
        <w:t>Grants:</w:t>
      </w:r>
      <w:r w:rsidRPr="004604C6">
        <w:rPr>
          <w:rFonts w:ascii="Times" w:hAnsi="Times"/>
          <w:spacing w:val="-2"/>
          <w:sz w:val="24"/>
          <w:szCs w:val="24"/>
        </w:rPr>
        <w:tab/>
      </w:r>
      <w:r w:rsidRPr="004604C6">
        <w:rPr>
          <w:rFonts w:ascii="Times" w:hAnsi="Times"/>
          <w:spacing w:val="-2"/>
          <w:sz w:val="24"/>
          <w:szCs w:val="24"/>
        </w:rPr>
        <w:tab/>
      </w:r>
      <w:r w:rsidRPr="004604C6">
        <w:rPr>
          <w:rFonts w:ascii="Times" w:hAnsi="Times"/>
          <w:spacing w:val="-2"/>
          <w:sz w:val="24"/>
          <w:szCs w:val="24"/>
        </w:rPr>
        <w:tab/>
      </w:r>
      <w:r w:rsidRPr="004604C6">
        <w:rPr>
          <w:rFonts w:ascii="Times" w:hAnsi="Times"/>
          <w:spacing w:val="-2"/>
          <w:sz w:val="24"/>
          <w:szCs w:val="24"/>
        </w:rPr>
        <w:tab/>
        <w:t>$0</w:t>
      </w:r>
    </w:p>
    <w:p w14:paraId="2C47A6C5" w14:textId="77777777" w:rsidR="0065797E" w:rsidRPr="004604C6" w:rsidRDefault="0065797E" w:rsidP="0065797E">
      <w:pPr>
        <w:tabs>
          <w:tab w:val="left" w:pos="-720"/>
        </w:tabs>
        <w:suppressAutoHyphens/>
        <w:jc w:val="both"/>
        <w:rPr>
          <w:rFonts w:ascii="Times" w:hAnsi="Times"/>
          <w:spacing w:val="-2"/>
          <w:sz w:val="24"/>
          <w:szCs w:val="24"/>
        </w:rPr>
      </w:pPr>
      <w:r w:rsidRPr="004604C6">
        <w:rPr>
          <w:rFonts w:ascii="Times" w:hAnsi="Times"/>
          <w:spacing w:val="-2"/>
          <w:sz w:val="24"/>
          <w:szCs w:val="24"/>
        </w:rPr>
        <w:t>Section 20 Costs:</w:t>
      </w:r>
      <w:r w:rsidRPr="004604C6">
        <w:rPr>
          <w:rFonts w:ascii="Times" w:hAnsi="Times"/>
          <w:spacing w:val="-2"/>
          <w:sz w:val="24"/>
          <w:szCs w:val="24"/>
        </w:rPr>
        <w:tab/>
      </w:r>
      <w:r w:rsidRPr="004604C6">
        <w:rPr>
          <w:rFonts w:ascii="Times" w:hAnsi="Times"/>
          <w:spacing w:val="-2"/>
          <w:sz w:val="24"/>
          <w:szCs w:val="24"/>
        </w:rPr>
        <w:tab/>
        <w:t>$112,000</w:t>
      </w:r>
    </w:p>
    <w:p w14:paraId="53D59414" w14:textId="77777777" w:rsidR="0065797E" w:rsidRPr="00B93A5D" w:rsidRDefault="0065797E" w:rsidP="0065797E">
      <w:pPr>
        <w:tabs>
          <w:tab w:val="left" w:pos="-720"/>
        </w:tabs>
        <w:suppressAutoHyphens/>
        <w:jc w:val="both"/>
        <w:rPr>
          <w:rFonts w:ascii="Times" w:hAnsi="Times"/>
          <w:spacing w:val="-2"/>
          <w:sz w:val="24"/>
          <w:szCs w:val="24"/>
        </w:rPr>
      </w:pPr>
      <w:r w:rsidRPr="004604C6">
        <w:rPr>
          <w:rFonts w:ascii="Times" w:hAnsi="Times"/>
          <w:spacing w:val="-2"/>
          <w:sz w:val="24"/>
          <w:szCs w:val="24"/>
        </w:rPr>
        <w:t>Useful Life:</w:t>
      </w:r>
      <w:r w:rsidRPr="004604C6">
        <w:rPr>
          <w:rFonts w:ascii="Times" w:hAnsi="Times"/>
          <w:spacing w:val="-2"/>
          <w:sz w:val="24"/>
          <w:szCs w:val="24"/>
        </w:rPr>
        <w:tab/>
      </w:r>
      <w:r w:rsidRPr="004604C6">
        <w:rPr>
          <w:rFonts w:ascii="Times" w:hAnsi="Times"/>
          <w:spacing w:val="-2"/>
          <w:sz w:val="24"/>
          <w:szCs w:val="24"/>
        </w:rPr>
        <w:tab/>
      </w:r>
      <w:r w:rsidRPr="004604C6">
        <w:rPr>
          <w:rFonts w:ascii="Times" w:hAnsi="Times"/>
          <w:spacing w:val="-2"/>
          <w:sz w:val="24"/>
          <w:szCs w:val="24"/>
        </w:rPr>
        <w:tab/>
      </w:r>
      <w:r>
        <w:rPr>
          <w:rFonts w:ascii="Times" w:hAnsi="Times"/>
          <w:spacing w:val="-2"/>
          <w:sz w:val="24"/>
          <w:szCs w:val="24"/>
        </w:rPr>
        <w:t>11.44</w:t>
      </w:r>
      <w:r w:rsidRPr="004604C6">
        <w:rPr>
          <w:rFonts w:ascii="Times" w:hAnsi="Times"/>
          <w:spacing w:val="-2"/>
          <w:sz w:val="24"/>
          <w:szCs w:val="24"/>
        </w:rPr>
        <w:t xml:space="preserve"> years</w:t>
      </w:r>
    </w:p>
    <w:p w14:paraId="439EAC2A" w14:textId="77777777" w:rsidR="0065797E" w:rsidRPr="00B93A5D" w:rsidRDefault="0065797E" w:rsidP="0065797E">
      <w:pPr>
        <w:tabs>
          <w:tab w:val="left" w:pos="-720"/>
        </w:tabs>
        <w:suppressAutoHyphens/>
        <w:jc w:val="both"/>
        <w:rPr>
          <w:rFonts w:ascii="Times" w:hAnsi="Times"/>
          <w:spacing w:val="-2"/>
          <w:sz w:val="24"/>
          <w:szCs w:val="24"/>
          <w:u w:val="single"/>
        </w:rPr>
      </w:pP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u w:val="single"/>
        </w:rPr>
        <w:tab/>
      </w:r>
      <w:r w:rsidRPr="00B93A5D">
        <w:rPr>
          <w:rFonts w:ascii="Times" w:hAnsi="Times"/>
          <w:spacing w:val="-2"/>
          <w:sz w:val="24"/>
          <w:szCs w:val="24"/>
          <w:u w:val="single"/>
        </w:rPr>
        <w:tab/>
      </w:r>
      <w:r w:rsidRPr="00B93A5D">
        <w:rPr>
          <w:rFonts w:ascii="Times" w:hAnsi="Times"/>
          <w:spacing w:val="-2"/>
          <w:sz w:val="24"/>
          <w:szCs w:val="24"/>
          <w:u w:val="single"/>
        </w:rPr>
        <w:tab/>
      </w:r>
      <w:r w:rsidRPr="00B93A5D">
        <w:rPr>
          <w:rFonts w:ascii="Times" w:hAnsi="Times"/>
          <w:spacing w:val="-2"/>
          <w:sz w:val="24"/>
          <w:szCs w:val="24"/>
          <w:u w:val="single"/>
        </w:rPr>
        <w:tab/>
      </w:r>
      <w:r w:rsidRPr="00B93A5D">
        <w:rPr>
          <w:rFonts w:ascii="Times" w:hAnsi="Times"/>
          <w:spacing w:val="-2"/>
          <w:sz w:val="24"/>
          <w:szCs w:val="24"/>
          <w:u w:val="single"/>
        </w:rPr>
        <w:tab/>
      </w:r>
      <w:r w:rsidRPr="00B93A5D">
        <w:rPr>
          <w:rFonts w:ascii="Times" w:hAnsi="Times"/>
          <w:spacing w:val="-2"/>
          <w:sz w:val="24"/>
          <w:szCs w:val="24"/>
          <w:u w:val="single"/>
        </w:rPr>
        <w:tab/>
      </w:r>
      <w:r>
        <w:rPr>
          <w:rFonts w:ascii="Times" w:hAnsi="Times"/>
          <w:spacing w:val="-2"/>
          <w:sz w:val="24"/>
          <w:szCs w:val="24"/>
          <w:u w:val="single"/>
        </w:rPr>
        <w:tab/>
      </w:r>
    </w:p>
    <w:p w14:paraId="393FAC7D" w14:textId="0DA6B78B" w:rsidR="0065797E" w:rsidRPr="00B93A5D" w:rsidRDefault="0065797E" w:rsidP="0065797E">
      <w:pPr>
        <w:tabs>
          <w:tab w:val="left" w:pos="-720"/>
        </w:tabs>
        <w:suppressAutoHyphens/>
        <w:jc w:val="both"/>
        <w:outlineLvl w:val="0"/>
        <w:rPr>
          <w:rFonts w:ascii="Times" w:hAnsi="Times"/>
          <w:spacing w:val="-2"/>
          <w:sz w:val="24"/>
          <w:szCs w:val="24"/>
        </w:rPr>
      </w:pP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B93A5D">
        <w:rPr>
          <w:rFonts w:ascii="Times" w:hAnsi="Times"/>
          <w:spacing w:val="-2"/>
          <w:sz w:val="24"/>
          <w:szCs w:val="24"/>
        </w:rPr>
        <w:tab/>
      </w:r>
      <w:r w:rsidRPr="007B2A5D">
        <w:rPr>
          <w:b/>
          <w:sz w:val="24"/>
          <w:szCs w:val="24"/>
        </w:rPr>
        <w:t xml:space="preserve">MICHELE MILLER, </w:t>
      </w:r>
      <w:r>
        <w:rPr>
          <w:b/>
          <w:sz w:val="24"/>
          <w:szCs w:val="24"/>
        </w:rPr>
        <w:t>RMC</w:t>
      </w:r>
      <w:r w:rsidRPr="007B2A5D">
        <w:rPr>
          <w:b/>
          <w:spacing w:val="-2"/>
          <w:sz w:val="24"/>
          <w:szCs w:val="24"/>
        </w:rPr>
        <w:t>,</w:t>
      </w:r>
      <w:r w:rsidRPr="007B2A5D">
        <w:rPr>
          <w:rFonts w:ascii="Times" w:hAnsi="Times"/>
          <w:spacing w:val="-2"/>
          <w:sz w:val="24"/>
          <w:szCs w:val="24"/>
        </w:rPr>
        <w:t xml:space="preserve"> </w:t>
      </w:r>
      <w:r w:rsidRPr="007B2A5D">
        <w:rPr>
          <w:rFonts w:ascii="Times" w:hAnsi="Times"/>
          <w:b/>
          <w:spacing w:val="-2"/>
          <w:sz w:val="24"/>
          <w:szCs w:val="24"/>
        </w:rPr>
        <w:t>Borough Clerk</w:t>
      </w:r>
    </w:p>
    <w:p w14:paraId="5AC8FA18" w14:textId="77777777" w:rsidR="0065797E" w:rsidRPr="00D874DB" w:rsidRDefault="0065797E" w:rsidP="0065797E">
      <w:pPr>
        <w:tabs>
          <w:tab w:val="left" w:pos="-720"/>
        </w:tabs>
        <w:suppressAutoHyphens/>
        <w:jc w:val="both"/>
        <w:rPr>
          <w:rFonts w:ascii="Times" w:hAnsi="Times"/>
          <w:spacing w:val="-2"/>
          <w:sz w:val="10"/>
          <w:szCs w:val="10"/>
        </w:rPr>
      </w:pPr>
    </w:p>
    <w:p w14:paraId="6B2F5DE2" w14:textId="77777777" w:rsidR="0065797E" w:rsidRPr="00B93A5D" w:rsidRDefault="0065797E" w:rsidP="0065797E">
      <w:pPr>
        <w:tabs>
          <w:tab w:val="left" w:pos="-720"/>
        </w:tabs>
        <w:suppressAutoHyphens/>
        <w:jc w:val="both"/>
        <w:rPr>
          <w:rFonts w:ascii="Times" w:hAnsi="Times"/>
          <w:spacing w:val="-2"/>
          <w:sz w:val="24"/>
          <w:szCs w:val="24"/>
        </w:rPr>
      </w:pPr>
      <w:r w:rsidRPr="00B93A5D">
        <w:rPr>
          <w:rFonts w:ascii="Times" w:hAnsi="Times"/>
          <w:spacing w:val="-2"/>
          <w:sz w:val="24"/>
          <w:szCs w:val="24"/>
        </w:rPr>
        <w:t xml:space="preserve">This Notice is published pursuant to </w:t>
      </w:r>
      <w:r w:rsidRPr="00AC2DC3">
        <w:rPr>
          <w:rFonts w:ascii="Times" w:hAnsi="Times"/>
          <w:i/>
          <w:spacing w:val="-2"/>
          <w:sz w:val="24"/>
          <w:szCs w:val="24"/>
        </w:rPr>
        <w:t>N.J.S.A.</w:t>
      </w:r>
      <w:r w:rsidRPr="00B93A5D">
        <w:rPr>
          <w:rFonts w:ascii="Times" w:hAnsi="Times"/>
          <w:spacing w:val="-2"/>
          <w:sz w:val="24"/>
          <w:szCs w:val="24"/>
        </w:rPr>
        <w:t xml:space="preserve"> 40A:2-17.  </w:t>
      </w:r>
    </w:p>
    <w:p w14:paraId="02DFE066" w14:textId="77777777" w:rsidR="0065797E" w:rsidRDefault="0065797E"/>
    <w:sectPr w:rsidR="0065797E" w:rsidSect="0065797E">
      <w:pgSz w:w="12240" w:h="15840" w:code="1"/>
      <w:pgMar w:top="720" w:right="1440" w:bottom="43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7E"/>
    <w:rsid w:val="00371263"/>
    <w:rsid w:val="0065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2D7A80"/>
  <w15:chartTrackingRefBased/>
  <w15:docId w15:val="{808F88EC-31CA-43E7-901C-E8B4FBD4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7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579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97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97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797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797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79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79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79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79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9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9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9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9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97E"/>
    <w:rPr>
      <w:rFonts w:eastAsiaTheme="majorEastAsia" w:cstheme="majorBidi"/>
      <w:color w:val="272727" w:themeColor="text1" w:themeTint="D8"/>
    </w:rPr>
  </w:style>
  <w:style w:type="paragraph" w:styleId="Title">
    <w:name w:val="Title"/>
    <w:basedOn w:val="Normal"/>
    <w:next w:val="Normal"/>
    <w:link w:val="TitleChar"/>
    <w:uiPriority w:val="10"/>
    <w:qFormat/>
    <w:rsid w:val="006579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9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7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97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797E"/>
    <w:rPr>
      <w:i/>
      <w:iCs/>
      <w:color w:val="404040" w:themeColor="text1" w:themeTint="BF"/>
    </w:rPr>
  </w:style>
  <w:style w:type="paragraph" w:styleId="ListParagraph">
    <w:name w:val="List Paragraph"/>
    <w:basedOn w:val="Normal"/>
    <w:uiPriority w:val="34"/>
    <w:qFormat/>
    <w:rsid w:val="0065797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5797E"/>
    <w:rPr>
      <w:i/>
      <w:iCs/>
      <w:color w:val="2F5496" w:themeColor="accent1" w:themeShade="BF"/>
    </w:rPr>
  </w:style>
  <w:style w:type="paragraph" w:styleId="IntenseQuote">
    <w:name w:val="Intense Quote"/>
    <w:basedOn w:val="Normal"/>
    <w:next w:val="Normal"/>
    <w:link w:val="IntenseQuoteChar"/>
    <w:uiPriority w:val="30"/>
    <w:qFormat/>
    <w:rsid w:val="0065797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797E"/>
    <w:rPr>
      <w:i/>
      <w:iCs/>
      <w:color w:val="2F5496" w:themeColor="accent1" w:themeShade="BF"/>
    </w:rPr>
  </w:style>
  <w:style w:type="character" w:styleId="IntenseReference">
    <w:name w:val="Intense Reference"/>
    <w:basedOn w:val="DefaultParagraphFont"/>
    <w:uiPriority w:val="32"/>
    <w:qFormat/>
    <w:rsid w:val="0065797E"/>
    <w:rPr>
      <w:b/>
      <w:bCs/>
      <w:smallCaps/>
      <w:color w:val="2F5496" w:themeColor="accent1" w:themeShade="BF"/>
      <w:spacing w:val="5"/>
    </w:rPr>
  </w:style>
  <w:style w:type="paragraph" w:styleId="NoSpacing">
    <w:name w:val="No Spacing"/>
    <w:uiPriority w:val="1"/>
    <w:qFormat/>
    <w:rsid w:val="0065797E"/>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Miller</dc:creator>
  <cp:keywords/>
  <dc:description/>
  <cp:lastModifiedBy>Michele Miller</cp:lastModifiedBy>
  <cp:revision>1</cp:revision>
  <dcterms:created xsi:type="dcterms:W3CDTF">2026-06-11T16:54:00Z</dcterms:created>
  <dcterms:modified xsi:type="dcterms:W3CDTF">2026-06-11T16:56:00Z</dcterms:modified>
</cp:coreProperties>
</file>